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冯芳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冯芳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1974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9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2008年10月加入中国共产党，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杭州市实业投资集团有限公司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机关第四党支部委员、</w:t>
      </w:r>
      <w:r>
        <w:rPr>
          <w:rFonts w:hint="eastAsia" w:ascii="仿宋" w:hAnsi="仿宋" w:eastAsia="仿宋" w:cs="仿宋"/>
          <w:w w:val="100"/>
          <w:sz w:val="32"/>
          <w:szCs w:val="32"/>
        </w:rPr>
        <w:t>资产管理部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干事。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该同志政治素养扎实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主动学习意识强。她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积极学习新党章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、习近平新时代中国特色社会主义思想，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深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刻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领会系列重要讲话的丰富内涵和核心要义，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为支部党员收集、汇总学习资料，带头参与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“百千万”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蹲点走访等活动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在繁忙的工作之余，她挤出时间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学习投资基金管理、内部控制和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风险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合规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知识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不断丰富自身知识储备，并成功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取得基金从业人员资格证书。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同志始终保持踏实做事、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默默奉献的作风。她主要负责公司董监事呈报事项的管理工作，由于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公司所属控股参股企业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，信息量大，事项琐碎繁杂，但她任劳任怨，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一丝不苟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认真梳理每个环节的要点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，严格把关，为各项决策提供专业参考意见，当好领导的参谋。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2017年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，她处理董监事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呈报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500余件，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起草各类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文件71份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积极跨部门协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调。她工作中也勇于创新，有担当，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2018年由她牵头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提交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《基于分级授权与投资企业信息化的管理模式创新项目》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是成为公司唯一一个年度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B类重点项目。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1507"/>
    <w:rsid w:val="5AA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2019-04-11T09:12:00Z</dcterms:created>
  <dc:creator>Administrator</dc:creator>
  <cp:lastModifiedBy>Administrator</cp:lastModifiedBy>
  <dcterms:modified xsi:type="dcterms:W3CDTF">2019-04-11T09:12:51Z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